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514</w:t>
      </w:r>
    </w:p>
    <w:p>
      <w:r>
        <w:t>Bundesgericht (BGE), 1992-12-14, DE</w:t>
      </w:r>
    </w:p>
    <w:p>
      <w:r>
        <w:rPr>
          <w:b/>
        </w:rPr>
        <w:t xml:space="preserve">Quelle: </w:t>
      </w:r>
      <w:r>
        <w:t>https://mcp.opencaselaw.ch/entscheid/bge_118 II 514</w:t>
      </w:r>
    </w:p>
    <w:p>
      <w:r>
        <w:t>FR: ATF 118 II 514</w:t>
      </w:r>
    </w:p>
    <w:p>
      <w:r>
        <w:t>IT: DTF 118 II 514</w:t>
      </w:r>
    </w:p>
    <w:p>
      <w:pPr>
        <w:pStyle w:val="Heading2"/>
      </w:pPr>
      <w:r>
        <w:t>Regeste</w:t>
      </w:r>
    </w:p>
    <w:p>
      <w:r>
        <w:t>Regeste Abtretung eines Erbanteils (Art. 635 Abs. 1 ZGB); anwendbares Recht. Grundsätzlich ist für die Gesamtheit des Nachlasses an das Erbstatut anzuknüpfen. Daraus folgt, dass die Erbteilung und damit auch die Abtretung eines Erbanteils sich nach dem Erbstatut zu richten haben. Das gilt auch für die Form des Abtretungsvertrages. Diese bestimmt sich daher nach dem Recht, das die Erbfolge als solche beherrscht, und nicht nach dem Recht des Abschlussortes des Vertrages.</w:t>
      </w:r>
    </w:p>
    <w:p>
      <w:pPr>
        <w:pStyle w:val="Heading2"/>
      </w:pPr>
      <w:r>
        <w:t>Erwägungen</w:t>
      </w:r>
    </w:p>
    <w:p>
      <w:r>
        <w:rPr>
          <w:b/>
        </w:rPr>
        <w:t>E. 3</w:t>
      </w:r>
    </w:p>
    <w:p>
      <w:r>
        <w:t>a) Nach Art. 196 Abs. 1 IPRG (SR 291), welche Vorschrift gemäss Art. 198 IPRG die Frage des anwendbaren Rechts vorliegend regelt (vgl. BGE 118 II 471 ff.; F. KNÖPFLER/PH. SCHWEIZER, Précis de droit international privé suisse, Bern 1990, S. 243 N 791), beurteilen sich die rechtlichen Wirkungen von Sachverhalten oder Rechtsvorgängen, die vor Inkrafttreten des IPRG entstanden und abgeschlossen sind, nach bisherigem Recht. Die im Erbgang der Maria F. erfolgte Verzichterklärung wie auch deren Widerruf ergingen vor Erlass des IPRG. Da die Auswirkungen dieses Erbverzichts an und für sich von dauerhafter Natur sind, kann nicht von einem abgeschlossenen Rechtsvorgang ausgegangen werden. Hingegen ist für die Frage nach der Formgültigkeit dieses Verzichts der Zeitpunkt des Vertragsabschlusses und damit der 3. August 1982 massgebend. Ob in dieser Hinsicht deutsches oder schweizerisches Recht anzuwenden sei, beurteilt sich demzufolge nach den damals geltenden Vorschriften des NAG sowie der unter der Herrschaft dieses Gesetzes geltenden Rechtsgrundsätze. b) Dass gemäss dem Grundsatz der Nichtrückwirkung die Bestimmungen des IPRG nicht zur Anwendung gelangen, ist denn auch nicht umstritten. Streitig ist nur, ob - wie dies der Kläger will - hinsichtlich der Form der Verzichterklärung resp. des Abtretungsvertrags vom 3. August 1982 in analoger Anwendung von Art. 124 Abs. 3 IPRG auf das deutsche Recht abgestellt werden muss, weil der Vater des Klägers jene Erklärung an seinem Wohnsitz in Deutschland abgegeben und unterzeichnet hat, oder ob diese Frage der Form der Abtretung sich nach dem Erbstatut und somit unbestrittenermassen nach schweizerischem Recht ( Art. 2 Abs. 1 und Art. 22 NAG ) bestimmt, wie das Obergericht meint. c) Die Frage, nach welchem Recht sich die Gültigkeit eines Vertrags über die Abtretung von Erbanteilen gemäss Art. 635 Abs. 1 ZGB beurteilt, beantwortete das NAG nicht. Lediglich bezüglich der Form von letztwilligen Verfügungen, Erbverträgen oder Schenkungen auf den Todesfall enthielt Art. 24 NAG drei Anknüpfungsmöglichkeiten, nämlich entweder das Recht des Errichtungsortes oder dasjenige des Wohnsitzes zur Zeit der Errichtung des Aktes oder aber das Recht der Heimat des Erblassers. Daraus lässt sich für den vorliegenden Fall nichts unmittelbar herleiten. Das Obergericht hat sich nun aber auf BGE 99 II 21 ff. berufen, wo festgehalten wird, dass die Abtretung eines angefallenen Erbanteils an einen Miterben dem BGE 118 II 514 S. 517 Erbstatut unterstehe. Das bedeutet, dass auf solche Verträge dasjenige Recht anzuwenden ist, das die gesamte Erbfolge beherrscht. Nur das Erbstatut könne darüber befinden - wie das Bundesgericht in BGE 99 II 24 E. 3a ausführte -, ob die Zession eines Erbteils zulässig sei und welche Rechte sie dem Erwerber am Nachlass verschaffe. Offen liess das Bundesgericht allerdings die Frage, ob für die Form eines Abtretungsvertrags allenfalls das Recht des Abschlussortes massgebend sei ( BGE 99 II 27 E. e). Wäre dies der Fall, so erwiese sich die Abtretung des Erbanteils, die nur in einfacher Schriftform erfolgt ist, nach deutschem Recht als ungültig. Denn § 2033 BGB schreibt als Gültigkeitserfordernis die notarielle Beurkundung vor, währenddem Art. 635 Abs. 1 ZGB - wie bereits erwähnt - lediglich einfache Schriftlichkeit verlangt, wobei die Unterschrift des Abtretenden hier genügt, nachdem der Nachlass ausreichend Aktiven enthält ( BGE 101 II 230 E. c). d) Das Obergericht lehnte die Auffassung des Kantonsgerichts, wonach deutsches Recht anwendbar sei, weil die vertragstypische Leistung am Wohnsitz des Abtretenden erbracht worden sei, mit der Begründung ab, dass die typisch mögliche Leistung des Vertrags nicht der einzige Anknüpfungspunkt für die Rechtsanwendung sei. Nach der bundesgerichtlichen Rechtsprechung unterstehe die Abtretung eines angefallenen Erbanteils an einen Miterben dem Erbstatut, und auch nach schweizerischem internationalen Privatrecht seien solche Verträge nach erbrechtlichen Gesichtspunkten anzuknüpfen. Auf die Abtretung eines Erbanteils sei daher dasjenige Recht anzuwenden, das die Erbfolge als solche beherrsche. Wohne nun ein Erbe, der seinen Erbanteil an seine Miterben abtrete, nicht in dem Land, in welchem sich der Erbgang abwickle, könne dieser Vertrag nicht isoliert betrachtet werden, sondern es erscheine die räumliche Verknüpfung des Rechtsverhältnisses mit dem Recht am Orte des Erbganges als naheliegend. Das Obergericht verneint demzufolge die in BGE 99 II 27 noch offen gelassene Frage, ob sich der Erbe, der seinen Erbanteil abtritt, hinsichtlich der Form des Rechtsgeschäfts auf das Recht des Abschlussortes berufen könne. Unter die "Eröffnung der Erbschaft" im Sinne von Art. 23 NAG , die stets für die Gesamtheit des Vermögens am letzten Wohnsitz des Erblassers erfolge, falle die Gesamtheit der Massnahmen, die der Sicherung des Nachlasses und dem Vollzug der Erbfolge dienten ( BGE 81 II 326 ). Zu den Vorschriften über den Erbgang zählten auch diejenigen über die Teilung, wozu auch Art. 635 Abs. 1 ZGB über Verträge unter den Miterben über die Abtretung von Erbanteilen gehöre. Schweizerisches Recht BGE 118 II 514 S. 518 sei somit nicht nur für die Frage, ob eine Abtretung zulässig sei und welche Rechte am Nachlass sie dem Erwerber verschaffe, sondern auch für die Form des Abtretungsvertrags massgebend. e) Das Obergericht beruft sich für seine Auffassung auf die von ihm zitierte Lehre. Die angeführten Literaturstellen befassen sich jedoch lediglich mit dem sogenannten Eröffnungsstatut. VISCHER (Internationales Privatrecht, in Schweizerisches Privatrecht, Bd. I, S. 642) weist darauf hin, dass neben dem allgemeinen Erbstatut das sogenannte Eröffnungsstatut stehe, das sich immer am letzten Wohnsitz des Erblassers befinde ( Art. 23 NAG ). Bei der Eröffnung eines Erbganges geht es indessen in erster Linie um die Sicherung und Feststellung der Erbmasse, darüber hinaus aber auch um die Gesamtheit der Massregeln, welche die Sicherung des Erbganges und den Vollzug der Erbfolge zum Zwecke haben, d.h. um die gesamte formelle Nachlassbehandlung, somit um all das, was das ZGB unter Erbgang versteht (VISCHER, a.a.O., S. 643; ANLIKER, Die erbrechtlichen Verhältnisse der Schweizer im Ausland und der Ausländer in der Schweiz, Aarau 1933, S. 226; BGE 81 II 326 ). Im vorliegenden Fall geht es nun aber nicht um die Eröffnung eines Erbganges. Das Obergericht geht deshalb etwas weit, wenn es mit seiner Berufung auf das Eröffnungsstatut dartun will, dass diese Anknüpfung auch die Form eines Abtretungsvertrags erfasse. Art. 635 Abs. 1 ZGB betrifft nicht mehr die Eröffnung einer Erbschaft und berührt auch nicht die Stellung der Erben vor der Teilung (vgl. VISCHER, a.a.O., S. 643 E. 2), sondern ist Teil der Vorschriften über den Abschluss und die Wirkungen der Teilung. Indessen ist zu beachten, dass nach einhelliger Lehre grundsätzlich für die Gesamtheit des Nachlasses einheitlich an das Erbstatut angeknüpft werden soll (VISCHER, a.a.O., S. 639; SCHNITZER, Handbuch des internationalen Privatrechts, Bd. II, 4. Aufl., S. 547). Damit wird dem Grundsatz Rechnung getragen, dass jede Erbschaft eine ideelle und systematische Einheit darstellt (VISCHER, a.a.O., S. 639 unten) und dass innerhalb dieses einheitlichen Systems die einzelnen Massnahmen, Verfügungen und Verträge materiell und mit Bezug auf die Form den Regeln des massgebenden Erbstatuts unterstellt sein sollen, weshalb allgemein - nicht nur bezüglich Zulässigkeit und Wirkungen - an dieses anzuknüpfen sei. Wenn demnach die Erbteilung und insbesondere die Zulässigkeit und Wirkung der Abtretung eines Erbanteils nach dem Erbstatut zu beurteilen sind (SCHNITZER, a.a.O., S. 547/548; ANLIKER, a.a.O., S. 234), ist (entgegen der nicht näher begründeten Auffassung von ANLIKER, a.a.O.) nicht einzusehen, BGE 118 II 514 S. 519 weshalb die Form des Teilungsvertrages und damit auch des Abtretungsvertrages nach Art. 635 ZGB , der ja als partielle Teilung verstanden wird, nicht ebenfalls an das Erbstatut anzuknüpfen, sondern nach dem Recht des Errichtungsortes zu bestimmen sei. Anders als bei handelsrechtlichen Verträgen entsteht der den Gegenstand des Abtretungsvertrages gemäss Art. 635 Abs. 1 ZGB bildende Erbanspruch am letzten Wohnsitz des Erblassers. Es ist weder praktisch noch sinnvoll, zwar internationalprivatrechtlich die Zulässigkeit einer solchen Abtretung dem Recht an diesem Ort zu unterstellen, dann aber die Form dieser Zession an das allgemeine Vertragsstatut anzuknüpfen. Es drängt sich vielmehr auf, dem Zweck und praktischen Erfordernissen entsprechend auch die Form der Erbabtretung dem Erbstatut zu unterstellen. Damit ist im Ergebnis der Auffassung des Obergerichts zu folgen.</w:t>
      </w:r>
    </w:p>
    <w:p>
      <w:r>
        <w:rPr>
          <w:b/>
        </w:rPr>
        <w:t>E. 4</w:t>
      </w:r>
    </w:p>
    <w:p>
      <w:r>
        <w:t>Dieser Betrachtungsweise hält der Kläger indessen entgegen, der partielle Teilungsvertrag sei ein obligationenrechtlicher Vertrag nach Art. 181 OR . Die Form eines solchen Vertrags unterstehe dem Recht des Abschlussortes, weshalb sinngemäss Art. 124 Abs. 3 IPRG anzuwenden und diese Bestimmung insbesondere deshalb bedeutsam sei, weil die (im vorliegenden Fall deutschen) Formvorschriften ihren Zweck im Schutze der Parteien hätten. Sinn der deutschen Vorschrift der notariellen Beurkundung sei offensichtlich die Vermeidung voreiliger (unentgeltlicher) Veräusserungen von Erbanteilen an Miterben. Es trifft zu, dass im Vertrag über die Abtretung angefallener Erbanteile schuldrechtliche Elemente enthalten sind (ESCHER, N 3 und 6, Vorbem. zu Art. 635 ZGB ; TUOR/PICENONI, N 1 und 6 zu Art. 635 ZGB ); jedoch überwiegt der erbrechtliche Charakter, vor allem, soweit Erben Anteile an Miterben abtreten. Es werden nicht einzelne Gegenstände veräussert, sondern im Grunde das subjektive Erbrecht des Abtretenden als solches im Umfange des anfallenden (ideellen) Teils (vgl. ESCHER, N 3 und 14 zu Art. 635 ZGB ; TUOR/PICENONI, N 13, 16 und 20 zu Art. 635 ZGB ), und die Abtretung erfolgt im Rahmen des Abschlusses eines Erbganges. Das spricht für die Anknüpfung an das Erbstatut insgesamt. Internationalprivatrechtlich fällt zudem ins Gewicht, dass im Gegensatz zu anderen obligationenrechtlichen Verträgen eine Rechtswahl ausgeschlossen ist (vgl. Art. 116 IPRG ; VISCHER/VON PLANTA, Internationales Privatrecht, S. 189), nachdem Zulässigkeit und Wirkung eines Abtretungsvertrags im Sinne von Art. 635 Abs. 1 ZGB nach dem hier massgebenden alten - wie neuen - Recht an das Erbstatut anknüpfen. Nach BGE 118 II 514 S. 520 Art. 124 Abs. 1 IPRG , welche Bestimmung der Kläger sinngemäss angewendet wissen will, ist bezüglich der Form des Vertrags erstes Anknüpfungskriterium das auf den Vertrag insgesamt anwendbare Recht. Gemäss Art. 124 Abs. 3 IPRG richtet sich die Formgültigkeit unter der Voraussetzung ausschliesslich nach dem auf den Vertrag anwendbaren Recht, dass dieses die Beachtung einer Form zum Schutze einer Partei vorschreibt. Diese Bestimmung steht, wäre sie hier überhaupt anzuwenden, in Übereinstimmung mit schweizerischem materiellem Recht; denn auch Art. 635 Abs. 1 ZGB sieht nicht nur aus Beweisgründen, sondern ebenfalls zum Schutze der Vertragsparteien eine bestimmte Form, wenn auch nur die einfache Schriftlichkeit, als Gültigkeitserfordernis vor. Dass Art. 124 Abs. 3 IPRG stets jenes Recht, das die strengere Formvorschrift enthält, als anwendbar erklären will, ergibt sich allein aus dem Wortlaut der Bestimmung nicht und wird vom Kläger auch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